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K1M13S2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Módulo de renovación a led para iluminación de emergencia ETAP K1 y K2 fluo</w:t>
      </w:r>
    </w:p>
    <w:p>
      <w:pPr>
        <w:numPr>
          <w:ilvl w:val="0"/>
          <w:numId w:val="3"/>
        </w:numPr>
      </w:pPr>
      <w:r>
        <w:rPr/>
        <w:t xml:space="preserve">Luminaria autónoma (contiene batería).</w:t>
      </w:r>
    </w:p>
    <w:p>
      <w:pPr>
        <w:numPr>
          <w:ilvl w:val="0"/>
          <w:numId w:val="3"/>
        </w:numPr>
      </w:pPr>
      <w:r>
        <w:rPr/>
        <w:t xml:space="preserve">Dimensiones: 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Autonomia: 180 minutos. La luminaria indica datos de la lámpara, fecha y tipo de batería, según la norma EN 60598-2.22.</w:t>
      </w:r>
    </w:p>
    <w:p>
      <w:pPr>
        <w:numPr>
          <w:ilvl w:val="0"/>
          <w:numId w:val="3"/>
        </w:numPr>
      </w:pPr>
      <w:r>
        <w:rPr/>
        <w:t xml:space="preserve">Batería: 4 x NiMh 1,2V 2,2Ah.</w:t>
      </w:r>
    </w:p>
    <w:p>
      <w:pPr>
        <w:numPr>
          <w:ilvl w:val="0"/>
          <w:numId w:val="3"/>
        </w:numPr>
      </w:pPr>
      <w:r>
        <w:rPr/>
        <w:t xml:space="preserve">Test de funcionamiento semanal automático, test de duración de batería cada 13 semanas, según la norma EN 50172 y EN 62034. Software ESM de gestión y control para mantenimiento centralizado. Conexión independiente de la polaridad a través del BUS de comunicación de dos hilos.</w:t>
      </w:r>
    </w:p>
    <w:p>
      <w:pPr>
        <w:numPr>
          <w:ilvl w:val="0"/>
          <w:numId w:val="3"/>
        </w:numPr>
      </w:pPr>
      <w:r>
        <w:rPr/>
        <w:t xml:space="preserve">Modo permanente/no permanente seleccionable, preestablecido para la mayoría de las aplicaciones.</w:t>
      </w:r>
    </w:p>
    <w:p>
      <w:pPr>
        <w:numPr>
          <w:ilvl w:val="0"/>
          <w:numId w:val="3"/>
        </w:numPr>
      </w:pPr>
      <w:r>
        <w:rPr/>
        <w:t xml:space="preserve">Clase de aislamiento: clase II.</w:t>
      </w:r>
    </w:p>
    <w:p>
      <w:pPr>
        <w:numPr>
          <w:ilvl w:val="0"/>
          <w:numId w:val="3"/>
        </w:numPr>
      </w:pPr>
      <w:r>
        <w:rPr/>
        <w:t xml:space="preserve">Seguridad fotobiológic IEC/TR 62778: RG0.</w:t>
      </w:r>
    </w:p>
    <w:p>
      <w:pPr>
        <w:numPr>
          <w:ilvl w:val="0"/>
          <w:numId w:val="3"/>
        </w:numPr>
      </w:pPr>
      <w:r>
        <w:rPr/>
        <w:t xml:space="preserve">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luminarias, fuente de luz, controlador y la batería.</w:t>
      </w:r>
    </w:p>
    <w:p>
      <w:pPr>
        <w:numPr>
          <w:ilvl w:val="0"/>
          <w:numId w:val="3"/>
        </w:numPr>
      </w:pPr>
      <w:r>
        <w:rPr/>
        <w:t xml:space="preserve">Certificaciones: CE.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8147C7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2025-03-01T20:17:25+01:00</dcterms:created>
  <dcterms:modified xsi:type="dcterms:W3CDTF">2025-03-01T20:17:25+01:00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