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K1R112/3S4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cuadrado para vías de evacuación.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152 mm x 152 mm x 38 mm.</w:t>
      </w:r>
    </w:p>
    <w:p>
      <w:pPr>
        <w:numPr>
          <w:ilvl w:val="0"/>
          <w:numId w:val="3"/>
        </w:numPr>
      </w:pPr>
      <w:r>
        <w:rPr/>
        <w:t xml:space="preserve">Carcasa de policarbonato, con óptica de aspecto empotrado, apertura sin tornillos, conexión eléctrica automática, terminales de cable sin tornillos (hasta 2.5mm²), accesorios opcionales para empotrar, 4 de salidas precortadas de Ø13mm.</w:t>
      </w:r>
    </w:p>
    <w:p>
      <w:pPr>
        <w:numPr>
          <w:ilvl w:val="0"/>
          <w:numId w:val="3"/>
        </w:numPr>
      </w:pPr>
      <w:r>
        <w:rPr/>
        <w:t xml:space="preserve">Distribución de la luz lineal, adecuado para dar 1 lux en el eje de la vía de evacuación.</w:t>
      </w:r>
    </w:p>
    <w:p>
      <w:pPr>
        <w:numPr>
          <w:ilvl w:val="0"/>
          <w:numId w:val="3"/>
        </w:numPr>
      </w:pPr>
      <w:r>
        <w:rPr/>
        <w:t xml:space="preserve">Lumen emergencia: 280 lm.</w:t>
      </w:r>
    </w:p>
    <w:p>
      <w:pPr>
        <w:numPr>
          <w:ilvl w:val="0"/>
          <w:numId w:val="3"/>
        </w:numPr>
      </w:pPr>
      <w:r>
        <w:rPr/>
        <w:t xml:space="preserve">Consumo de energía: 0.9 W.</w:t>
      </w:r>
    </w:p>
    <w:p>
      <w:pPr>
        <w:numPr>
          <w:ilvl w:val="0"/>
          <w:numId w:val="3"/>
        </w:numPr>
      </w:pPr>
      <w:r>
        <w:rPr/>
        <w:t xml:space="preserve">Interdistancia vía de evacuación: A una altura de montaje de 2.8 m, la iluminancia en suelo es 1 lux con una interdistancia (b) de 20.7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Control remoto del modo de emergencia / reposo mediante contacto de entrada.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42993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2024-01-05T15:17:58+01:00</dcterms:created>
  <dcterms:modified xsi:type="dcterms:W3CDTF">2024-01-05T15:17:58+01:00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