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quadrado para iluminação de vías de evacuação.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Corpo em policarbonato com ótica afundada e aspecto nivelado, abertura que dispensa o uso de parafusos, conexão elétrica automática (até 2.5mm²), terminais de fio sem parafusos, acessórios opcionais para montagem de encastrar, quatro portas break-out Ø13mm.</w:t>
      </w:r>
    </w:p>
    <w:p>
      <w:pPr>
        <w:numPr>
          <w:ilvl w:val="0"/>
          <w:numId w:val="3"/>
        </w:numPr>
      </w:pPr>
      <w:r>
        <w:rPr/>
        <w:t xml:space="preserve">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</w:t>
      </w:r>
    </w:p>
    <w:p>
      <w:pPr>
        <w:numPr>
          <w:ilvl w:val="0"/>
          <w:numId w:val="3"/>
        </w:numPr>
      </w:pPr>
      <w:r>
        <w:rPr/>
        <w:t xml:space="preserve">Fluxo luminoso em estado de emergência: 280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Duraçãos: 60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1,1Ah.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</w:t>
      </w:r>
    </w:p>
    <w:p>
      <w:pPr>
        <w:numPr>
          <w:ilvl w:val="0"/>
          <w:numId w:val="3"/>
        </w:numPr>
      </w:pPr>
      <w:r>
        <w:rPr/>
        <w:t xml:space="preserve">Garantia de 5 + 3 anos para a luminária, fonte de luz, driver e bateria (para luminárias autónomas).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FD57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2025-04-17T08:55:24+02:00</dcterms:created>
  <dcterms:modified xsi:type="dcterms:W3CDTF">2025-04-17T08:55:24+02:00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