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K1R12/3N-230C3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Vierkant Noodverlichtingsarmatuur voor anti-paniekverlichting. Opbouw.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152 mm x 152 mm x 38 mm.</w:t>
      </w:r>
    </w:p>
    <w:p>
      <w:pPr>
        <w:numPr>
          <w:ilvl w:val="0"/>
          <w:numId w:val="3"/>
        </w:numPr>
      </w:pPr>
      <w:r>
        <w:rPr/>
        <w:t xml:space="preserve">Polycarbonaat behuizing met verzonken optiek en flush aspect, schroefloze opening, automatische elektrische aansluiting, schroefloze aansluitklemmen (tot 2.5 mm²), optionele accessoires voor inbouwmontage, vier break-out poorten Ø13mm.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300 lm.</w:t>
      </w:r>
    </w:p>
    <w:p>
      <w:pPr>
        <w:numPr>
          <w:ilvl w:val="0"/>
          <w:numId w:val="3"/>
        </w:numPr>
      </w:pPr>
      <w:r>
        <w:rPr/>
        <w:t xml:space="preserve">Opgenomen vermogen: 4.8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12.7 m. Bij een montagehoogte van 2.8 m bedraagt de verlichtingssterkte op de vloer 1 lux bij een tussenafstand ("b") van 12.1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Bevat een adresseerbare MSÜ3 communicatie module, voor gebruikt met centraal batterijsysteem.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1287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2025-04-17T08:54:27+02:00</dcterms:created>
  <dcterms:modified xsi:type="dcterms:W3CDTF">2025-04-17T08:54:27+02:00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