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K1R123/3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cuadrado para alumbrado anti-pánico.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Carcasa de policarbonato, con óptica de aspecto empotrado, apertura sin tornillos, conexión eléctrica automática, terminales de cable sin tornillos (hasta 2.5mm²), accesorios opcionales para empotrar, 4 de salidas precortadas de Ø13mm.</w:t>
      </w:r>
    </w:p>
    <w:p>
      <w:pPr>
        <w:numPr>
          <w:ilvl w:val="0"/>
          <w:numId w:val="3"/>
        </w:numPr>
      </w:pPr>
      <w:r>
        <w:rPr/>
        <w:t xml:space="preserve">Distribución de la luz cuadrada, adecuado para evitar puntos negros.</w:t>
      </w:r>
    </w:p>
    <w:p>
      <w:pPr>
        <w:numPr>
          <w:ilvl w:val="0"/>
          <w:numId w:val="3"/>
        </w:numPr>
      </w:pPr>
      <w:r>
        <w:rPr/>
        <w:t xml:space="preserve">Lumen emergencia: 300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12.1 m.  A una altura de montaje de 2.8 m, la iluminancia en suelo es 0.5 lux con una interdistancia (b) de 12.7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F1174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2024-01-05T15:13:23+01:00</dcterms:created>
  <dcterms:modified xsi:type="dcterms:W3CDTF">2024-01-05T15:13:23+01:00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