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315 mm x 33 mm x 219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automática, terminales de cable sin tornillos (hasta 2.5mm²), apto para montaje a techo o pared, accesorios opcionales para empotrar o suspender.</w:t>
      </w:r>
    </w:p>
    <w:p>
      <w:pPr>
        <w:numPr>
          <w:ilvl w:val="0"/>
          <w:numId w:val="3"/>
        </w:numPr>
      </w:pPr>
      <w:r>
        <w:rPr/>
        <w:t xml:space="preserve">Lumen emergencia: 90 lm.</w:t>
      </w:r>
    </w:p>
    <w:p>
      <w:pPr>
        <w:numPr>
          <w:ilvl w:val="0"/>
          <w:numId w:val="3"/>
        </w:numPr>
      </w:pPr>
      <w:r>
        <w:rPr/>
        <w:t xml:space="preserve">Consumo de energía: 4.2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29 m.</w:t>
      </w:r>
    </w:p>
    <w:p>
      <w:pPr>
        <w:numPr>
          <w:ilvl w:val="0"/>
          <w:numId w:val="3"/>
        </w:numPr>
      </w:pPr>
      <w:r>
        <w:rPr/>
        <w:t xml:space="preserve">Contiene módulo de comunicación MSÜ3 direccionable para uso con baterías centralizadas.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A627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2024-01-05T15:23:32+01:00</dcterms:created>
  <dcterms:modified xsi:type="dcterms:W3CDTF">2024-01-05T15:23:32+01:00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