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Für zentrale Versorgung.</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6.8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Inklusive adressierbarem MSÜ3-Kommunikationsmodul, geeignet für Mischbetrieb in Zentralbatteriesystem 230V AC/DC.</w:t>
      </w:r>
    </w:p>
    <w:p>
      <w:pPr>
        <w:numPr>
          <w:ilvl w:val="0"/>
          <w:numId w:val="3"/>
        </w:numPr>
      </w:pPr>
      <w:r>
        <w:rPr/>
        <w:t xml:space="preserve">Dauerschaltung.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-10°C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6089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