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Centralizada.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90 lm.</w:t>
      </w:r>
    </w:p>
    <w:p>
      <w:pPr>
        <w:numPr>
          <w:ilvl w:val="0"/>
          <w:numId w:val="3"/>
        </w:numPr>
      </w:pPr>
      <w:r>
        <w:rPr/>
        <w:t xml:space="preserve">Consumo de energía: 6.8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Contiene módulo de comunicación MSÜ3 direccionable para uso con baterías centralizadas.</w:t>
      </w:r>
    </w:p>
    <w:p>
      <w:pPr>
        <w:numPr>
          <w:ilvl w:val="0"/>
          <w:numId w:val="3"/>
        </w:numPr>
      </w:pPr>
      <w:r>
        <w:rPr/>
        <w:t xml:space="preserve">Modo permanente.</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32C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2025-04-17T09:01:39+02:00</dcterms:created>
  <dcterms:modified xsi:type="dcterms:W3CDTF">2025-04-17T09:01:39+02:00</dcterms:modified>
</cp:coreProperties>
</file>

<file path=docProps/custom.xml><?xml version="1.0" encoding="utf-8"?>
<Properties xmlns="http://schemas.openxmlformats.org/officeDocument/2006/custom-properties" xmlns:vt="http://schemas.openxmlformats.org/officeDocument/2006/docPropsVTypes"/>
</file>