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Alimentação central.</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250 lm.</w:t>
      </w:r>
    </w:p>
    <w:p>
      <w:pPr>
        <w:numPr>
          <w:ilvl w:val="0"/>
          <w:numId w:val="3"/>
        </w:numPr>
      </w:pPr>
      <w:r>
        <w:rPr/>
        <w:t xml:space="preserve">Potência: 6.8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Contém módulo de comunicação MSÜ3 endereçável, para uso com um sistema de bateria central.</w:t>
      </w:r>
    </w:p>
    <w:p>
      <w:pPr>
        <w:numPr>
          <w:ilvl w:val="0"/>
          <w:numId w:val="3"/>
        </w:numPr>
      </w:pPr>
      <w:r>
        <w:rPr/>
        <w:t xml:space="preserve">Modo mantido.</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21A7B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2024-01-05T15:23:29+01:00</dcterms:created>
  <dcterms:modified xsi:type="dcterms:W3CDTF">2024-01-05T15:23:29+01:00</dcterms:modified>
</cp:coreProperties>
</file>

<file path=docProps/custom.xml><?xml version="1.0" encoding="utf-8"?>
<Properties xmlns="http://schemas.openxmlformats.org/officeDocument/2006/custom-properties" xmlns:vt="http://schemas.openxmlformats.org/officeDocument/2006/docPropsVTypes"/>
</file>