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Für zentrale Versorgung.</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250 lm.</w:t>
      </w:r>
    </w:p>
    <w:p>
      <w:pPr>
        <w:numPr>
          <w:ilvl w:val="0"/>
          <w:numId w:val="3"/>
        </w:numPr>
      </w:pPr>
      <w:r>
        <w:rPr/>
        <w:t xml:space="preserve">Anschlussleistung: 3.3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Geeignet für Zentralbatteriesystem 230 V AC/DC.</w:t>
      </w:r>
    </w:p>
    <w:p>
      <w:pPr>
        <w:numPr>
          <w:ilvl w:val="0"/>
          <w:numId w:val="3"/>
        </w:numPr>
      </w:pPr>
      <w:r>
        <w:rPr/>
        <w:t xml:space="preserve">Dauerschaltung.</w:t>
      </w:r>
    </w:p>
    <w:p>
      <w:pPr>
        <w:numPr>
          <w:ilvl w:val="0"/>
          <w:numId w:val="3"/>
        </w:numPr>
      </w:pPr>
      <w:r>
        <w:rPr/>
        <w:t xml:space="preserve">Schutzklasse: Klasse II.</w:t>
      </w:r>
    </w:p>
    <w:p>
      <w:pPr>
        <w:numPr>
          <w:ilvl w:val="0"/>
          <w:numId w:val="3"/>
        </w:numPr>
      </w:pPr>
      <w:r>
        <w:rPr/>
        <w:t xml:space="preserve">Fotobiologische Sicherheit EN 62471: RISK GROUP 0 UNLIMITED.</w:t>
      </w:r>
    </w:p>
    <w:p>
      <w:pPr>
        <w:numPr>
          <w:ilvl w:val="0"/>
          <w:numId w:val="3"/>
        </w:numPr>
      </w:pPr>
      <w:r>
        <w:rPr/>
        <w:t xml:space="preserve">Schlagfestes polycarbonat Gehäuse, 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-20°C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C7C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2025-04-17T09:00:50+02:00</dcterms:created>
  <dcterms:modified xsi:type="dcterms:W3CDTF">2025-04-17T09:00:50+02:00</dcterms:modified>
</cp:coreProperties>
</file>

<file path=docProps/custom.xml><?xml version="1.0" encoding="utf-8"?>
<Properties xmlns="http://schemas.openxmlformats.org/officeDocument/2006/custom-properties" xmlns:vt="http://schemas.openxmlformats.org/officeDocument/2006/docPropsVTypes"/>
</file>