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210 lm.</w:t>
      </w:r>
    </w:p>
    <w:p>
      <w:pPr>
        <w:numPr>
          <w:ilvl w:val="0"/>
          <w:numId w:val="3"/>
        </w:numPr>
      </w:pPr>
      <w:r>
        <w:rPr/>
        <w:t xml:space="preserve">Anschlussleistung: 2.9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180 min. Die Leuchte enthält Lampen- und Batteriedaten (Datum/Typ) gem. EN 60598-2-22.</w:t>
      </w:r>
    </w:p>
    <w:p>
      <w:pPr>
        <w:numPr>
          <w:ilvl w:val="0"/>
          <w:numId w:val="3"/>
        </w:numPr>
      </w:pPr>
      <w:r>
        <w:rPr/>
        <w:t xml:space="preserve">Batterie: 4 x NiMh 1,2V 2,2Ah.</w:t>
      </w:r>
    </w:p>
    <w:p>
      <w:pPr>
        <w:numPr>
          <w:ilvl w:val="0"/>
          <w:numId w:val="3"/>
        </w:numPr>
      </w:pPr>
      <w:r>
        <w:rPr/>
        <w:t xml:space="preserve">Automatischer Funktions-/Betriebsdauertest, jeweils wöchentlich/alle 13 Wochen gem. EN 50172 und EN 62034;</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61C9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2025-04-17T09:01:28+02:00</dcterms:created>
  <dcterms:modified xsi:type="dcterms:W3CDTF">2025-04-17T09:01:28+02:00</dcterms:modified>
</cp:coreProperties>
</file>

<file path=docProps/custom.xml><?xml version="1.0" encoding="utf-8"?>
<Properties xmlns="http://schemas.openxmlformats.org/officeDocument/2006/custom-properties" xmlns:vt="http://schemas.openxmlformats.org/officeDocument/2006/docPropsVTypes"/>
</file>