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K1R142/1L3S4</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2.8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60 minutos. A luminária contém dados da fonte de luz, data da bateria e tipo, conforme exigido de acordo com EN 60598-2.22.</w:t>
      </w:r>
    </w:p>
    <w:p>
      <w:pPr>
        <w:numPr>
          <w:ilvl w:val="0"/>
          <w:numId w:val="3"/>
        </w:numPr>
      </w:pPr>
      <w:r>
        <w:rPr/>
        <w:t xml:space="preserve">Bateria: 4 x NiMh 1,2V 1,1Ah.</w:t>
      </w:r>
    </w:p>
    <w:p>
      <w:pPr>
        <w:numPr>
          <w:ilvl w:val="0"/>
          <w:numId w:val="3"/>
        </w:numPr>
      </w:pPr>
      <w:r>
        <w:rPr/>
        <w:t xml:space="preserve">Teste funcional automático todas as semanas, teste de duração 13 semanas, de acordo com EN 50172 e EN 62034. Controle remoto do modo de emergência / repouso por contato de entrada.</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0B3B4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2024-01-05T15:21:18+01:00</dcterms:created>
  <dcterms:modified xsi:type="dcterms:W3CDTF">2024-01-05T15:21:18+01:00</dcterms:modified>
</cp:coreProperties>
</file>

<file path=docProps/custom.xml><?xml version="1.0" encoding="utf-8"?>
<Properties xmlns="http://schemas.openxmlformats.org/officeDocument/2006/custom-properties" xmlns:vt="http://schemas.openxmlformats.org/officeDocument/2006/docPropsVTypes"/>
</file>