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K1R15/3-230L2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carré pour éclairage de sécurité pour signalisation simple et double face. En saillie.</w:t>
      </w:r>
    </w:p>
    <w:p>
      <w:pPr>
        <w:numPr>
          <w:ilvl w:val="0"/>
          <w:numId w:val="3"/>
        </w:numPr>
      </w:pPr>
      <w:r>
        <w:rPr/>
        <w:t xml:space="preserve">Pour alimentation centrale.</w:t>
      </w:r>
    </w:p>
    <w:p>
      <w:pPr>
        <w:numPr>
          <w:ilvl w:val="0"/>
          <w:numId w:val="3"/>
        </w:numPr>
      </w:pPr>
      <w:r>
        <w:rPr/>
        <w:t xml:space="preserve">Dimensions: 152 mm x 152 mm x 38 mm.</w:t>
      </w:r>
    </w:p>
    <w:p>
      <w:pPr>
        <w:numPr>
          <w:ilvl w:val="0"/>
          <w:numId w:val="3"/>
        </w:numPr>
      </w:pPr>
      <w:r>
        <w:rPr/>
        <w:t xml:space="preserve">Pictogramme sur plaque en acrylique de hauteur 76 mm avec éclairage par la tranche, ouverture sans vis, connexion électrique automatique, bornes enfichables (jusqu'à 2.5 mm²), accessoires en option pour montage en encastré, quatre trous pré-découpés Ø13mm sur les côtés. Rendement d’éclairement élevé pour l’éclairage vertical de moyens de lutte contre l’incendie (5 lux).</w:t>
      </w:r>
    </w:p>
    <w:p>
      <w:pPr>
        <w:numPr>
          <w:ilvl w:val="0"/>
          <w:numId w:val="3"/>
        </w:numPr>
      </w:pPr>
      <w:r>
        <w:rPr/>
        <w:t xml:space="preserve">Lumen en état de secours: 150 lm.</w:t>
      </w:r>
    </w:p>
    <w:p>
      <w:pPr>
        <w:numPr>
          <w:ilvl w:val="0"/>
          <w:numId w:val="3"/>
        </w:numPr>
      </w:pPr>
      <w:r>
        <w:rPr/>
        <w:t xml:space="preserve">Consommation de courant: 1.2 W.</w:t>
      </w:r>
    </w:p>
    <w:p>
      <w:pPr>
        <w:numPr>
          <w:ilvl w:val="0"/>
          <w:numId w:val="3"/>
        </w:numPr>
      </w:pPr>
      <w:r>
        <w:rPr/>
        <w:t xml:space="preserve">Tension: 220-230V.</w:t>
      </w:r>
    </w:p>
    <w:p>
      <w:pPr>
        <w:numPr>
          <w:ilvl w:val="0"/>
          <w:numId w:val="3"/>
        </w:numPr>
      </w:pPr>
      <w:r>
        <w:rPr/>
        <w:t xml:space="preserve"> La distance de perception du pictogramme est 15 m.</w:t>
      </w:r>
    </w:p>
    <w:p>
      <w:pPr>
        <w:numPr>
          <w:ilvl w:val="0"/>
          <w:numId w:val="3"/>
        </w:numPr>
      </w:pPr>
      <w:r>
        <w:rPr/>
        <w:t xml:space="preserve">Pour une utilisation avec des systèmes de batteries centrales sur 230 V AC / DC.</w:t>
      </w:r>
    </w:p>
    <w:p>
      <w:pPr>
        <w:numPr>
          <w:ilvl w:val="0"/>
          <w:numId w:val="3"/>
        </w:numPr>
      </w:pPr>
      <w:r>
        <w:rPr/>
        <w:t xml:space="preserve">Mode de fonctionnement permanent.</w:t>
      </w:r>
    </w:p>
    <w:p>
      <w:pPr>
        <w:numPr>
          <w:ilvl w:val="0"/>
          <w:numId w:val="3"/>
        </w:numPr>
      </w:pPr>
      <w:r>
        <w:rPr/>
        <w:t xml:space="preserve">Classe d'électrique: classe II.</w:t>
      </w:r>
    </w:p>
    <w:p>
      <w:pPr>
        <w:numPr>
          <w:ilvl w:val="0"/>
          <w:numId w:val="3"/>
        </w:numPr>
      </w:pPr>
      <w:r>
        <w:rPr/>
        <w:t xml:space="preserve">Sécurité photobiologique EN 62471: RISK GROUP 1 / RISK GROUP 2.</w:t>
      </w:r>
    </w:p>
    <w:p>
      <w:pPr>
        <w:numPr>
          <w:ilvl w:val="0"/>
          <w:numId w:val="3"/>
        </w:numPr>
      </w:pPr>
      <w:r>
        <w:rPr/>
        <w:t xml:space="preserve">Polycarbonate résistant aux chocs caisson, RAL9003 - blanc.</w:t>
      </w:r>
    </w:p>
    <w:p>
      <w:pPr>
        <w:numPr>
          <w:ilvl w:val="0"/>
          <w:numId w:val="3"/>
        </w:numPr>
      </w:pPr>
      <w:r>
        <w:rPr/>
        <w:t xml:space="preserve">Degré de protection IP: IP42.</w:t>
      </w:r>
    </w:p>
    <w:p>
      <w:pPr>
        <w:numPr>
          <w:ilvl w:val="0"/>
          <w:numId w:val="3"/>
        </w:numPr>
      </w:pPr>
      <w:r>
        <w:rPr/>
        <w:t xml:space="preserve">Degré de protection IK: IK04.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5 ans sur luminaire, source de lumière, driver et batterie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B39AA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2025-04-17T08:59:49+02:00</dcterms:created>
  <dcterms:modified xsi:type="dcterms:W3CDTF">2025-04-17T08:59:49+02:00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