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K1R152/3L2S2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Placa de sinalização em acrílico 76 mm com lados iluminados, abertura sem parafusos, conexão elétrica automática (até 2.5mm²), terminais de fio sem parafusos, acessórios opcionais para montagem de encastrar, quatro portas break-out Ø13mm. Elevado rendimento luminoso para a iluminação vertical do equipamento de combate a incêndios (5 lux).</w:t>
      </w:r>
    </w:p>
    <w:p>
      <w:pPr>
        <w:numPr>
          <w:ilvl w:val="0"/>
          <w:numId w:val="3"/>
        </w:numPr>
      </w:pPr>
      <w:r>
        <w:rPr/>
        <w:t xml:space="preserve">Fluxo luminoso em estado de emergência: 150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4AEB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2025-04-17T08:59:29+02:00</dcterms:created>
  <dcterms:modified xsi:type="dcterms:W3CDTF">2025-04-17T08:59:29+02:00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