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K1R155/3L2</w:t>
      </w:r>
    </w:p>
    <w:p/>
    <w:p>
      <w:pPr/>
      <w:r>
        <w:pict>
          <v:shape type="#_x0000_t75" style="width:250pt; height:191.4503386004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Quadratische Leuchte für Sicherheitsbeleuchtung für einseitige und doppelseitige Rettungszeichenleuchte. Anbau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152 mm x 152 mm x 38 mm.</w:t>
      </w:r>
    </w:p>
    <w:p>
      <w:pPr>
        <w:numPr>
          <w:ilvl w:val="0"/>
          <w:numId w:val="3"/>
        </w:numPr>
      </w:pPr>
      <w:r>
        <w:rPr/>
        <w:t xml:space="preserve">Beleuchtete Acryl-Platte 76 mm, schraubenloses Öffnen, automatischer elektrischer Kontakt beim Schließen, Anschluss-Steckkontakte (bis zu 2.5mm²), vier seitliche Ausbrechstellen Ø13 mm, für Decken-Montage, optionales Zubehör für Einbau-Montage Hoher Beleuchtungswirkungsgrad für die vertikale Ausleuchtung von Feuerlöscheinrichtungen (5 Lux).</w:t>
      </w:r>
    </w:p>
    <w:p>
      <w:pPr>
        <w:numPr>
          <w:ilvl w:val="0"/>
          <w:numId w:val="3"/>
        </w:numPr>
      </w:pPr>
      <w:r>
        <w:rPr/>
        <w:t xml:space="preserve">Leuchten-Lichtstrom im Notbetrieb: 150 lm.</w:t>
      </w:r>
    </w:p>
    <w:p>
      <w:pPr>
        <w:numPr>
          <w:ilvl w:val="0"/>
          <w:numId w:val="3"/>
        </w:numPr>
      </w:pPr>
      <w:r>
        <w:rPr/>
        <w:t xml:space="preserve">Anschlussleistung: 0.8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Die Erkennungsweite des Piktogramms ist 15 m.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Verbindung über drahtlose 868-MHz-Kommunikation.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/ RISK GROUP 2.</w:t>
      </w:r>
    </w:p>
    <w:p>
      <w:pPr>
        <w:numPr>
          <w:ilvl w:val="0"/>
          <w:numId w:val="3"/>
        </w:numPr>
      </w:pPr>
      <w:r>
        <w:rPr/>
        <w:t xml:space="preserve">Schlagfestes polycarbonat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A09FD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2025-04-17T08:59:45+02:00</dcterms:created>
  <dcterms:modified xsi:type="dcterms:W3CDTF">2025-04-17T08:59:45+02:00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