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K213/3-A-D800A40</w:t>
      </w:r>
    </w:p>
    <w:p/>
    <w:p>
      <w:pPr/>
      <w:r>
        <w:pict>
          <v:shape type="#_x0000_t75" stroked="f"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Surface mounted. C0:C90 value of this luminaire: D800:A40.</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275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20.5 m.</w:t>
      </w:r>
    </w:p>
    <w:p>
      <w:pPr>
        <w:numPr>
          <w:ilvl w:val="0"/>
          <w:numId w:val="3"/>
        </w:numPr>
      </w:pPr>
      <w:r>
        <w:rPr/>
        <w:t xml:space="preserve">Voltage: 220-230V.</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25CED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2025-06-18T08:00:05+02:00</dcterms:created>
  <dcterms:modified xsi:type="dcterms:W3CDTF">2025-06-18T08:00:05+02:00</dcterms:modified>
</cp:coreProperties>
</file>

<file path=docProps/custom.xml><?xml version="1.0" encoding="utf-8"?>
<Properties xmlns="http://schemas.openxmlformats.org/officeDocument/2006/custom-properties" xmlns:vt="http://schemas.openxmlformats.org/officeDocument/2006/docPropsVTypes"/>
</file>