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K223/3OS2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anti-panic lighting.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 With battery heater, allowed ambient temperature -20°C to +35°C.</w:t>
      </w:r>
    </w:p>
    <w:p>
      <w:pPr>
        <w:numPr>
          <w:ilvl w:val="0"/>
          <w:numId w:val="3"/>
        </w:numPr>
      </w:pPr>
      <w:r>
        <w:rPr/>
        <w:t xml:space="preserve">Square light distribution, optimized to avoid dark spots.</w:t>
      </w:r>
    </w:p>
    <w:p>
      <w:pPr>
        <w:numPr>
          <w:ilvl w:val="0"/>
          <w:numId w:val="3"/>
        </w:numPr>
      </w:pPr>
      <w:r>
        <w:rPr/>
        <w:t xml:space="preserve">Lumen output in emergency mode: 202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12.5 m. At a mounting height of 2.8 m, the illumination on the floor is 1 lux with an interdistance ("b") of 10.9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2,1Ah.</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BE99A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2025-04-17T09:05:00+02:00</dcterms:created>
  <dcterms:modified xsi:type="dcterms:W3CDTF">2025-04-17T09:05:00+02:00</dcterms:modified>
</cp:coreProperties>
</file>

<file path=docProps/custom.xml><?xml version="1.0" encoding="utf-8"?>
<Properties xmlns="http://schemas.openxmlformats.org/officeDocument/2006/custom-properties" xmlns:vt="http://schemas.openxmlformats.org/officeDocument/2006/docPropsVTypes"/>
</file>