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K232/3O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éclairage de sécurité pour signalisation simple face. Montage mural.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automatique, bornes enfichables (jusqu'à 2.5 mm²), presse-étoupe inclus, possibilité de câblage traversant, accessoires en option pour montage en encastré. Avec chauffage pour batterie, température ambiante autorisée de -20 ° C à + 35 ° C.</w:t>
      </w:r>
    </w:p>
    <w:p>
      <w:pPr>
        <w:numPr>
          <w:ilvl w:val="0"/>
          <w:numId w:val="3"/>
        </w:numPr>
      </w:pPr>
      <w:r>
        <w:rPr/>
        <w:t xml:space="preserve">Lumen en état de secours: 130 lm.</w:t>
      </w:r>
    </w:p>
    <w:p>
      <w:pPr>
        <w:numPr>
          <w:ilvl w:val="0"/>
          <w:numId w:val="3"/>
        </w:numPr>
      </w:pPr>
      <w:r>
        <w:rPr/>
        <w:t xml:space="preserve">Consommation de courant: 1.8 W.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3C85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2025-05-27T11:11:13+02:00</dcterms:created>
  <dcterms:modified xsi:type="dcterms:W3CDTF">2025-05-27T11:11:13+02:00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