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K232/3S24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Lumen emergencia: 130 lm.</w:t>
      </w:r>
    </w:p>
    <w:p>
      <w:pPr>
        <w:numPr>
          <w:ilvl w:val="0"/>
          <w:numId w:val="3"/>
        </w:numPr>
      </w:pPr>
      <w:r>
        <w:rPr/>
        <w:t xml:space="preserve">Consumo de energía: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Control remoto del modo de emergencia / reposo mediante contacto de entrada.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905F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2024-04-18T13:46:07+02:00</dcterms:created>
  <dcterms:modified xsi:type="dcterms:W3CDTF">2024-04-18T13:46:07+02:00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