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sinalização para simples face.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 (até 2.5mm²), terminais de fio sem parafusos, bocim incluído, possibilidade de cablagem de passagem, acessórios opcionais para montagem de encastrar.</w:t>
      </w:r>
    </w:p>
    <w:p>
      <w:pPr>
        <w:numPr>
          <w:ilvl w:val="0"/>
          <w:numId w:val="3"/>
        </w:numPr>
      </w:pPr>
      <w:r>
        <w:rPr/>
        <w:t xml:space="preserve">Fluxo luminoso em estado de emergência: 130 lm.</w:t>
      </w:r>
    </w:p>
    <w:p>
      <w:pPr>
        <w:numPr>
          <w:ilvl w:val="0"/>
          <w:numId w:val="3"/>
        </w:numPr>
      </w:pPr>
      <w:r>
        <w:rPr/>
        <w:t xml:space="preserve">Potência: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067DF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2024-01-05T15:33:39+01:00</dcterms:created>
  <dcterms:modified xsi:type="dcterms:W3CDTF">2024-01-05T15:33:39+01:00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