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K242/3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Alumbrado de emergencia para señalización (f) por un y ambos lados. Montage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359 mm x 180 mm x 225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</w:t>
      </w:r>
    </w:p>
    <w:p>
      <w:pPr>
        <w:numPr>
          <w:ilvl w:val="0"/>
          <w:numId w:val="3"/>
        </w:numPr>
      </w:pPr>
      <w:r>
        <w:rPr/>
        <w:t xml:space="preserve">Lumen emergencia: 55 lm.</w:t>
      </w:r>
    </w:p>
    <w:p>
      <w:pPr>
        <w:numPr>
          <w:ilvl w:val="0"/>
          <w:numId w:val="3"/>
        </w:numPr>
      </w:pPr>
      <w:r>
        <w:rPr/>
        <w:t xml:space="preserve">Consumo de energía: 3.8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DFF3A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2024-01-05T15:32:25+01:00</dcterms:created>
  <dcterms:modified xsi:type="dcterms:W3CDTF">2024-01-05T15:32:25+01:00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