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K266/3O</w:t>
      </w:r>
    </w:p>
    <w:p/>
    <w:p>
      <w:pPr/>
      <w:r>
        <w:pict>
          <v:shape type="#_x0000_t75" style="width:250pt; height:166.2561576354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Alumbrado de emergencia con cómoda iluminación difusa. Montaje en superficie.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359 mm x 180 mm x 100 mm.</w:t>
      </w:r>
    </w:p>
    <w:p>
      <w:pPr>
        <w:numPr>
          <w:ilvl w:val="0"/>
          <w:numId w:val="3"/>
        </w:numPr>
      </w:pPr>
      <w:r>
        <w:rPr/>
        <w:t xml:space="preserve">Montaje con dos soportes de acero inoxidable, conexión eléctrica automática, terminales de cable sin tornillos (hasta 2.5mm²), incluye manguera, posibilidad de cableado pasante, accesorios adicionales para montaje empotrado.</w:t>
      </w:r>
    </w:p>
    <w:p>
      <w:pPr>
        <w:numPr>
          <w:ilvl w:val="0"/>
          <w:numId w:val="3"/>
        </w:numPr>
      </w:pPr>
      <w:r>
        <w:rPr/>
        <w:t xml:space="preserve">Lumen emergencia: 330 lm.</w:t>
      </w:r>
    </w:p>
    <w:p>
      <w:pPr>
        <w:numPr>
          <w:ilvl w:val="0"/>
          <w:numId w:val="3"/>
        </w:numPr>
      </w:pPr>
      <w:r>
        <w:rPr/>
        <w:t xml:space="preserve">Consumo de energía: 2.8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Autonomia: 60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1,1Ah.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 Gestión y control a través de DALI para mantenimiento centralizado. Conexión a través del BUS de comunicación de dos hilos.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RG0.</w:t>
      </w:r>
    </w:p>
    <w:p>
      <w:pPr>
        <w:numPr>
          <w:ilvl w:val="0"/>
          <w:numId w:val="3"/>
        </w:numPr>
      </w:pPr>
      <w:r>
        <w:rPr/>
        <w:t xml:space="preserve">Policarbonato resistente a impactos carcasa, RAL9018 - blanco papiro.</w:t>
      </w:r>
    </w:p>
    <w:p>
      <w:pPr>
        <w:numPr>
          <w:ilvl w:val="0"/>
          <w:numId w:val="3"/>
        </w:numPr>
      </w:pPr>
      <w:r>
        <w:rPr/>
        <w:t xml:space="preserve">Grado de protección IP: IP65.</w:t>
      </w:r>
    </w:p>
    <w:p>
      <w:pPr>
        <w:numPr>
          <w:ilvl w:val="0"/>
          <w:numId w:val="3"/>
        </w:numPr>
      </w:pPr>
      <w:r>
        <w:rPr/>
        <w:t xml:space="preserve">Grado de protección IK: IK10.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abrazaderas de velcro, lo que facilita el reemplazo de la batería.</w:t>
      </w:r>
    </w:p>
    <w:p>
      <w:pPr>
        <w:numPr>
          <w:ilvl w:val="0"/>
          <w:numId w:val="3"/>
        </w:numPr>
      </w:pPr>
      <w:r>
        <w:rPr/>
        <w:t xml:space="preserve">5 + 3 años de garantía para la luminaria, fuenta&amp;nbsp;de luz, electrónica y batería (para luminarias autónomas).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F2EDFE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2025-04-17T09:07:01+02:00</dcterms:created>
  <dcterms:modified xsi:type="dcterms:W3CDTF">2025-04-17T09:07:01+02:00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