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 65 Luminaire pour éclairage de sécurité pour éclairage de sortie finale. En saillie.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359 mm x 180 mm x 100 mm.</w:t>
      </w:r>
    </w:p>
    <w:p>
      <w:pPr>
        <w:numPr>
          <w:ilvl w:val="0"/>
          <w:numId w:val="3"/>
        </w:numPr>
      </w:pPr>
      <w:r>
        <w:rPr/>
        <w:t xml:space="preserve">Monté sur deux étriers en acier inoxydable, connexion électrique automatique, bornes enfichables (jusqu'à 2.5 mm²), presse-étoupe inclus, possibilité de câblage traversant, accessoires en option pour montage en encastré. Avec chauffage pour batterie, température ambiante autorisée de -20 ° C à + 35 ° C.</w:t>
      </w:r>
    </w:p>
    <w:p>
      <w:pPr>
        <w:numPr>
          <w:ilvl w:val="0"/>
          <w:numId w:val="3"/>
        </w:numPr>
      </w:pPr>
      <w:r>
        <w:rPr/>
        <w:t xml:space="preserve">Deux leds orientées vers le sol, pour 1 lux.</w:t>
      </w:r>
    </w:p>
    <w:p>
      <w:pPr>
        <w:numPr>
          <w:ilvl w:val="0"/>
          <w:numId w:val="3"/>
        </w:numPr>
      </w:pPr>
      <w:r>
        <w:rPr/>
        <w:t xml:space="preserve">Lumen en état de secours: 65 lm.</w:t>
      </w:r>
    </w:p>
    <w:p>
      <w:pPr>
        <w:numPr>
          <w:ilvl w:val="0"/>
          <w:numId w:val="3"/>
        </w:numPr>
      </w:pPr>
      <w:r>
        <w:rPr/>
        <w:t xml:space="preserve">Consommation de courant: 2.0 W.</w:t>
      </w:r>
    </w:p>
    <w:p>
      <w:pPr>
        <w:numPr>
          <w:ilvl w:val="0"/>
          <w:numId w:val="3"/>
        </w:numPr>
      </w:pPr>
      <w:r>
        <w:rPr/>
        <w:t xml:space="preserve">Tension: 220-230V.</w:t>
      </w:r>
    </w:p>
    <w:p>
      <w:pPr>
        <w:numPr>
          <w:ilvl w:val="0"/>
          <w:numId w:val="3"/>
        </w:numPr>
      </w:pPr>
      <w:r>
        <w:rPr/>
        <w:t xml:space="preserve"> La distance de perception du pictogramme est m.</w:t>
      </w:r>
    </w:p>
    <w:p>
      <w:pPr>
        <w:numPr>
          <w:ilvl w:val="0"/>
          <w:numId w:val="3"/>
        </w:numPr>
      </w:pPr>
      <w:r>
        <w:rPr/>
        <w:t xml:space="preserve">Autonomie: 60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Mode permanent / non permanent sélectionnable, préréglé pour les applications les plus courantes.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0 UNLIMITED.</w:t>
      </w:r>
    </w:p>
    <w:p>
      <w:pPr>
        <w:numPr>
          <w:ilvl w:val="0"/>
          <w:numId w:val="3"/>
        </w:numPr>
      </w:pPr>
      <w:r>
        <w:rPr/>
        <w:t xml:space="preserve">Polycarbonate résistant aux chocs caisson, RAL9018 - blanc papyrus.</w:t>
      </w:r>
    </w:p>
    <w:p>
      <w:pPr>
        <w:numPr>
          <w:ilvl w:val="0"/>
          <w:numId w:val="3"/>
        </w:numPr>
      </w:pPr>
      <w:r>
        <w:rPr/>
        <w:t xml:space="preserve">Degré de protection IP: IP65.</w:t>
      </w:r>
    </w:p>
    <w:p>
      <w:pPr>
        <w:numPr>
          <w:ilvl w:val="0"/>
          <w:numId w:val="3"/>
        </w:numPr>
      </w:pPr>
      <w:r>
        <w:rPr/>
        <w:t xml:space="preserve">Degré de protection IK: IK10.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CE, ENEC.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F415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2025-09-08T15:01:57+02:00</dcterms:created>
  <dcterms:modified xsi:type="dcterms:W3CDTF">2025-09-08T15:01:57+02:00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