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Luminária de emergência sinalização iluminação de saída final. Montagem saliente.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359 mm x 180 mm x 100 mm.</w:t>
      </w:r>
    </w:p>
    <w:p>
      <w:pPr>
        <w:numPr>
          <w:ilvl w:val="0"/>
          <w:numId w:val="3"/>
        </w:numPr>
      </w:pPr>
      <w:r>
        <w:rPr/>
        <w:t xml:space="preserve">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</w:t>
      </w:r>
    </w:p>
    <w:p>
      <w:pPr>
        <w:numPr>
          <w:ilvl w:val="0"/>
          <w:numId w:val="3"/>
        </w:numPr>
      </w:pPr>
      <w:r>
        <w:rPr/>
        <w:t xml:space="preserve">Fluxo luminoso em estado de emergência: 65 lm.</w:t>
      </w:r>
    </w:p>
    <w:p>
      <w:pPr>
        <w:numPr>
          <w:ilvl w:val="0"/>
          <w:numId w:val="3"/>
        </w:numPr>
      </w:pPr>
      <w:r>
        <w:rPr/>
        <w:t xml:space="preserve">Potência: 2.0 W.</w:t>
      </w:r>
    </w:p>
    <w:p>
      <w:pPr>
        <w:numPr>
          <w:ilvl w:val="0"/>
          <w:numId w:val="3"/>
        </w:numPr>
      </w:pPr>
      <w:r>
        <w:rPr/>
        <w:t xml:space="preserve">Tensão: 220-230V.</w:t>
      </w:r>
    </w:p>
    <w:p>
      <w:pPr>
        <w:numPr>
          <w:ilvl w:val="0"/>
          <w:numId w:val="3"/>
        </w:numPr>
      </w:pPr>
      <w:r>
        <w:rPr/>
        <w:t xml:space="preserve"> A distância de percepção do pictograma é m.</w:t>
      </w:r>
    </w:p>
    <w:p>
      <w:pPr>
        <w:numPr>
          <w:ilvl w:val="0"/>
          <w:numId w:val="3"/>
        </w:numPr>
      </w:pPr>
      <w:r>
        <w:rPr/>
        <w:t xml:space="preserve">Duraçãos: 60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4 x NiMh 1,2V 1,1Ah.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todas as 13 semanas, de acordo com EN 50172 e EN 62034.</w:t>
      </w:r>
    </w:p>
    <w:p>
      <w:pPr>
        <w:numPr>
          <w:ilvl w:val="0"/>
          <w:numId w:val="3"/>
        </w:numPr>
      </w:pPr>
      <w:r>
        <w:rPr/>
        <w:t xml:space="preserve">Modo mantido / não mantido selecionável, predefinido para a aplicação mais comum.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RG0.</w:t>
      </w:r>
    </w:p>
    <w:p>
      <w:pPr>
        <w:numPr>
          <w:ilvl w:val="0"/>
          <w:numId w:val="3"/>
        </w:numPr>
      </w:pPr>
      <w:r>
        <w:rPr/>
        <w:t xml:space="preserve">Policarbonato resistente a impactos base, RAL9018 - papiro branco.</w:t>
      </w:r>
    </w:p>
    <w:p>
      <w:pPr>
        <w:numPr>
          <w:ilvl w:val="0"/>
          <w:numId w:val="3"/>
        </w:numPr>
      </w:pPr>
      <w:r>
        <w:rPr/>
        <w:t xml:space="preserve">Grau de protecção IP: IP65.</w:t>
      </w:r>
    </w:p>
    <w:p>
      <w:pPr>
        <w:numPr>
          <w:ilvl w:val="0"/>
          <w:numId w:val="3"/>
        </w:numPr>
      </w:pPr>
      <w:r>
        <w:rPr/>
        <w:t xml:space="preserve">Grau de protecção IK: IK10.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CE, ENEC.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2F914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2025-09-08T15:02:03+02:00</dcterms:created>
  <dcterms:modified xsi:type="dcterms:W3CDTF">2025-09-08T15:02:03+02:00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