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K285/2OS2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IP65 Luminária de emergência sinalização iluminação de saída final. Montagem saliente.</w:t>
      </w:r>
    </w:p>
    <w:p>
      <w:pPr>
        <w:numPr>
          <w:ilvl w:val="0"/>
          <w:numId w:val="3"/>
        </w:numPr>
      </w:pPr>
      <w:r>
        <w:rPr/>
        <w:t xml:space="preserve">Luminária autónoma (contém bateria).</w:t>
      </w:r>
    </w:p>
    <w:p>
      <w:pPr>
        <w:numPr>
          <w:ilvl w:val="0"/>
          <w:numId w:val="3"/>
        </w:numPr>
      </w:pPr>
      <w:r>
        <w:rPr/>
        <w:t xml:space="preserve">Dimensões: 359 mm x 180 mm x 100 mm.</w:t>
      </w:r>
    </w:p>
    <w:p>
      <w:pPr>
        <w:numPr>
          <w:ilvl w:val="0"/>
          <w:numId w:val="3"/>
        </w:numPr>
      </w:pPr>
      <w:r>
        <w:rPr/>
        <w:t xml:space="preserve">Instalada em dois grampos de aço inoxidável, conexão elétrica automática (até 2.5mm²), terminais de fio sem parafusos, bocim incluído, possibilidade de cablagem de passagem, acessórios opcionais para montagem de encastrar. Com aquecedor de bateria, temperatura ambiente permitida de -20 ° C a + 35 ° C.</w:t>
      </w:r>
    </w:p>
    <w:p>
      <w:pPr>
        <w:numPr>
          <w:ilvl w:val="0"/>
          <w:numId w:val="3"/>
        </w:numPr>
      </w:pPr>
      <w:r>
        <w:rPr/>
        <w:t xml:space="preserve">Fluxo luminoso em estado de emergência: 65 lm.</w:t>
      </w:r>
    </w:p>
    <w:p>
      <w:pPr>
        <w:numPr>
          <w:ilvl w:val="0"/>
          <w:numId w:val="3"/>
        </w:numPr>
      </w:pPr>
      <w:r>
        <w:rPr/>
        <w:t xml:space="preserve">Potência: 2.0 W.</w:t>
      </w:r>
    </w:p>
    <w:p>
      <w:pPr>
        <w:numPr>
          <w:ilvl w:val="0"/>
          <w:numId w:val="3"/>
        </w:numPr>
      </w:pPr>
      <w:r>
        <w:rPr/>
        <w:t xml:space="preserve">Tensão: 220-230V.</w:t>
      </w:r>
    </w:p>
    <w:p>
      <w:pPr>
        <w:numPr>
          <w:ilvl w:val="0"/>
          <w:numId w:val="3"/>
        </w:numPr>
      </w:pPr>
      <w:r>
        <w:rPr/>
        <w:t xml:space="preserve"> A distância de percepção do pictograma é m.</w:t>
      </w:r>
    </w:p>
    <w:p>
      <w:pPr>
        <w:numPr>
          <w:ilvl w:val="0"/>
          <w:numId w:val="3"/>
        </w:numPr>
      </w:pPr>
      <w:r>
        <w:rPr/>
        <w:t xml:space="preserve">Duraçãos: 180 minutos. A luminária contém dados da fonte de luz, data da bateria e tipo, conforme exigido de acordo com EN 60598-2.22.</w:t>
      </w:r>
    </w:p>
    <w:p>
      <w:pPr>
        <w:numPr>
          <w:ilvl w:val="0"/>
          <w:numId w:val="3"/>
        </w:numPr>
      </w:pPr>
      <w:r>
        <w:rPr/>
        <w:t xml:space="preserve">Bateria: 4 x NiMh 1,2V 1,1Ah.</w:t>
      </w:r>
    </w:p>
    <w:p>
      <w:pPr>
        <w:numPr>
          <w:ilvl w:val="0"/>
          <w:numId w:val="3"/>
        </w:numPr>
      </w:pPr>
      <w:r>
        <w:rPr/>
        <w:t xml:space="preserve">Teste funcional automático todas as semanas, teste de duração 13 semanas, de acordo com EN 50172 e EN 62034. Monitorização e controle via software ESM para manutenção central. Conexão via comunicação sem fio de 868 MHz.</w:t>
      </w:r>
    </w:p>
    <w:p>
      <w:pPr>
        <w:numPr>
          <w:ilvl w:val="0"/>
          <w:numId w:val="3"/>
        </w:numPr>
      </w:pPr>
      <w:r>
        <w:rPr/>
        <w:t xml:space="preserve">Modo mantido / não mantido selecionável, predefinido para a aplicação mais comum.</w:t>
      </w:r>
    </w:p>
    <w:p>
      <w:pPr>
        <w:numPr>
          <w:ilvl w:val="0"/>
          <w:numId w:val="3"/>
        </w:numPr>
      </w:pPr>
      <w:r>
        <w:rPr/>
        <w:t xml:space="preserve">Classe de isolamento: classe II.</w:t>
      </w:r>
    </w:p>
    <w:p>
      <w:pPr>
        <w:numPr>
          <w:ilvl w:val="0"/>
          <w:numId w:val="3"/>
        </w:numPr>
      </w:pPr>
      <w:r>
        <w:rPr/>
        <w:t xml:space="preserve">Segurança fotobiológica IEC/TR 62778: RG0.</w:t>
      </w:r>
    </w:p>
    <w:p>
      <w:pPr>
        <w:numPr>
          <w:ilvl w:val="0"/>
          <w:numId w:val="3"/>
        </w:numPr>
      </w:pPr>
      <w:r>
        <w:rPr/>
        <w:t xml:space="preserve">Policarbonato resistente a impactos base, RAL9018 - papiro branco.</w:t>
      </w:r>
    </w:p>
    <w:p>
      <w:pPr>
        <w:numPr>
          <w:ilvl w:val="0"/>
          <w:numId w:val="3"/>
        </w:numPr>
      </w:pPr>
      <w:r>
        <w:rPr/>
        <w:t xml:space="preserve">Grau de protecção IP: IP65.</w:t>
      </w:r>
    </w:p>
    <w:p>
      <w:pPr>
        <w:numPr>
          <w:ilvl w:val="0"/>
          <w:numId w:val="3"/>
        </w:numPr>
      </w:pPr>
      <w:r>
        <w:rPr/>
        <w:t xml:space="preserve">Grau de protecção IK: IK10.</w:t>
      </w:r>
    </w:p>
    <w:p>
      <w:pPr>
        <w:numPr>
          <w:ilvl w:val="0"/>
          <w:numId w:val="3"/>
        </w:numPr>
      </w:pPr>
      <w:r>
        <w:rPr/>
        <w:t xml:space="preserve">Teste ao fio encandescente: 850°C.</w:t>
      </w:r>
    </w:p>
    <w:p>
      <w:pPr>
        <w:numPr>
          <w:ilvl w:val="0"/>
          <w:numId w:val="3"/>
        </w:numPr>
      </w:pPr>
      <w:r>
        <w:rPr/>
        <w:t xml:space="preserve">Certificações: CE.</w:t>
      </w:r>
    </w:p>
    <w:p>
      <w:pPr>
        <w:numPr>
          <w:ilvl w:val="0"/>
          <w:numId w:val="3"/>
        </w:numPr>
      </w:pPr>
      <w:r>
        <w:rPr/>
        <w:t xml:space="preserve">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2359C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2025-09-08T15:04:21+02:00</dcterms:created>
  <dcterms:modified xsi:type="dcterms:W3CDTF">2025-09-08T15:04:21+02:00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