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K3M12-F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K3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Le remplacement plug-and-play et sans vis de l'intérieur. Boîtier extérieur et câblage est conservé tel quel.</w:t>
      </w:r>
    </w:p>
    <w:p>
      <w:pPr>
        <w:numPr>
          <w:ilvl w:val="0"/>
          <w:numId w:val="3"/>
        </w:numPr>
      </w:pPr>
      <w:r>
        <w:rPr/>
        <w:t xml:space="preserve">Lumen en état de secours: 640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minutes.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557F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2023-08-22T10:15:37+02:00</dcterms:created>
  <dcterms:modified xsi:type="dcterms:W3CDTF">2023-08-22T10:15:37+02:00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