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escape route lighting. Recessed mounted.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Polycarbonate housing with sunk optics and modern aspect. Spring mounted, electronics in separate transparant minimal-additives polycarbonate housing, screwless opening, screwless push-in wire terminals. Installation height 110 mm. Allows for in-and-out wiring with two cables up to 5G2,5mm², or with 4 cables if bus-wires are separate.</w:t>
      </w:r>
    </w:p>
    <w:p>
      <w:pPr>
        <w:numPr>
          <w:ilvl w:val="0"/>
          <w:numId w:val="3"/>
        </w:numPr>
      </w:pPr>
      <w:r>
        <w:rPr/>
        <w:t xml:space="preserve">Line-shaped light distribution, optimized for 1 lux along the escape route axis.</w:t>
      </w:r>
    </w:p>
    <w:p>
      <w:pPr>
        <w:numPr>
          <w:ilvl w:val="0"/>
          <w:numId w:val="3"/>
        </w:numPr>
      </w:pPr>
      <w:r>
        <w:rPr/>
        <w:t xml:space="preserve">Lumen output in emergency mode: 95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180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3E8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2025-04-29T18:30:44+02:00</dcterms:created>
  <dcterms:modified xsi:type="dcterms:W3CDTF">2025-04-29T18:30:44+02:00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