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K4A-R30-1M0-20-3L0</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rond pour éclairage d'évacuation. Montage encastrée.</w:t>
      </w:r>
    </w:p>
    <w:p>
      <w:pPr>
        <w:numPr>
          <w:ilvl w:val="0"/>
          <w:numId w:val="3"/>
        </w:numPr>
      </w:pPr>
      <w:r>
        <w:rPr/>
        <w:t xml:space="preserve">Luminaire autonome (contient batterie).</w:t>
      </w:r>
    </w:p>
    <w:p>
      <w:pPr>
        <w:numPr>
          <w:ilvl w:val="0"/>
          <w:numId w:val="3"/>
        </w:numPr>
      </w:pPr>
      <w:r>
        <w:rPr/>
        <w:t xml:space="preserve">Dimensions: Ø 80 mm x 50 mm.</w:t>
      </w:r>
    </w:p>
    <w:p>
      <w:pPr>
        <w:numPr>
          <w:ilvl w:val="0"/>
          <w:numId w:val="3"/>
        </w:numPr>
      </w:pPr>
      <w:r>
        <w:rPr/>
        <w:t xml:space="preserve">Boîtier en polycarbonate avec optique encastrée et aspect moderne. Monté sur ressort, électronique dans un boîtier en polycarbonate transparent séparé avec additifs minimaux, ouverture sans vis, bornes de fil enfichables sans vis. Hauteur d’installation 110 mm. Permet un câblage d’entrée et de sortie avec deux câbles jusqu’à 5G2,5mm², ou avec 4 câbles si les fils bus sont séparés.</w:t>
      </w:r>
    </w:p>
    <w:p>
      <w:pPr>
        <w:numPr>
          <w:ilvl w:val="0"/>
          <w:numId w:val="3"/>
        </w:numPr>
      </w:pPr>
      <w:r>
        <w:rPr/>
        <w:t xml:space="preserve">Lumen en état de secours: 95 lm.</w:t>
      </w:r>
    </w:p>
    <w:p>
      <w:pPr>
        <w:numPr>
          <w:ilvl w:val="0"/>
          <w:numId w:val="3"/>
        </w:numPr>
      </w:pPr>
      <w:r>
        <w:rPr/>
        <w:t xml:space="preserve">Consommation de courant: 0.2 W.</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1 x LiFePO4 3,2V 1,5Ah.</w:t>
      </w:r>
    </w:p>
    <w:p>
      <w:pPr>
        <w:numPr>
          <w:ilvl w:val="0"/>
          <w:numId w:val="3"/>
        </w:numPr>
      </w:pPr>
      <w:r>
        <w:rPr/>
        <w:t xml:space="preserve">SATI: Test de fonctionnement automatique toutes les semaines, test d’autonomie toutes les 13 semaines, selon EN 50172 et EN 62034.</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RAL9003 - blanc.</w:t>
      </w:r>
    </w:p>
    <w:p>
      <w:pPr>
        <w:numPr>
          <w:ilvl w:val="0"/>
          <w:numId w:val="3"/>
        </w:numPr>
      </w:pPr>
      <w:r>
        <w:rPr/>
        <w:t xml:space="preserve">Degré de protection IP: IP20.</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3F0EC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2025-04-29T18:30:43+02:00</dcterms:created>
  <dcterms:modified xsi:type="dcterms:W3CDTF">2025-04-29T18:30:43+02:00</dcterms:modified>
</cp:coreProperties>
</file>

<file path=docProps/custom.xml><?xml version="1.0" encoding="utf-8"?>
<Properties xmlns="http://schemas.openxmlformats.org/officeDocument/2006/custom-properties" xmlns:vt="http://schemas.openxmlformats.org/officeDocument/2006/docPropsVTypes"/>
</file>