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redonda para iluminação anti-pânico (área aberta). Montagem embutida.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80 mm x 50 mm.</w:t>
      </w:r>
    </w:p>
    <w:p>
      <w:pPr>
        <w:numPr>
          <w:ilvl w:val="0"/>
          <w:numId w:val="3"/>
        </w:numPr>
      </w:pPr>
      <w:r>
        <w:rPr/>
        <w:t xml:space="preserve">Caixa de policarbonato com óptica rebaixada e aspecto moderno. Montado na mola, eletrônica em caixa de policarbonato de aditivos mínimos transparentes separados, abertura sem parafusos, terminais de fio push-in sem parafusos. Altura de instalação 110 mm. Permite fiação de entrada e saída com dois cabos de até 5G2,5mm², ou com 4 cabos se os fios de barramento forem separados.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 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C98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2025-04-29T18:30:47+02:00</dcterms:created>
  <dcterms:modified xsi:type="dcterms:W3CDTF">2025-04-29T18:30:47+02:00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