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fyrkantig Nödbelysning för belysning av öppna ytor.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80 mm x 80 mm x 50 mm.</w:t>
      </w:r>
    </w:p>
    <w:p>
      <w:pPr>
        <w:numPr>
          <w:ilvl w:val="0"/>
          <w:numId w:val="3"/>
        </w:numPr>
      </w:pPr>
      <w:r>
        <w:rPr/>
        <w:t xml:space="preserve">Kvadratisk ljusdistribution optimerad för att undvika mörka fält.</w:t>
      </w:r>
    </w:p>
    <w:p>
      <w:pPr>
        <w:numPr>
          <w:ilvl w:val="0"/>
          <w:numId w:val="3"/>
        </w:numPr>
      </w:pPr>
      <w:r>
        <w:rPr/>
        <w:t xml:space="preserve">Lumen nödläge: 210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60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B082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2025-10-21T11:59:48+02:00</dcterms:created>
  <dcterms:modified xsi:type="dcterms:W3CDTF">2025-10-21T11:59:48+02:00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