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K8M15</w:t>
      </w:r>
    </w:p>
    <w:p/>
    <w:p>
      <w:pPr/>
      <w:r>
        <w:pict>
          <v:shape type="#_x0000_t75" style="width:250pt; height:196.6145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K8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Le remplacement plug-and-play et sans vis de l'intérieur. Boîtier extérieur et câblage est conservé tel quel.</w:t>
      </w:r>
    </w:p>
    <w:p>
      <w:pPr>
        <w:numPr>
          <w:ilvl w:val="0"/>
          <w:numId w:val="3"/>
        </w:numPr>
      </w:pPr>
      <w:r>
        <w:rPr/>
        <w:t xml:space="preserve">Distribution lumineuse carrée, optimisée pour éviter les zones sombres. Distribution lumineuse en forme de ligne, optimisée pour 1 lux le long du chemin de fuite.</w:t>
      </w:r>
    </w:p>
    <w:p>
      <w:pPr>
        <w:numPr>
          <w:ilvl w:val="0"/>
          <w:numId w:val="3"/>
        </w:numPr>
      </w:pPr>
      <w:r>
        <w:rPr/>
        <w:t xml:space="preserve">Lumen en état de secours: 243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2EF9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2025-03-01T20:36:52+01:00</dcterms:created>
  <dcterms:modified xsi:type="dcterms:W3CDTF">2025-03-01T20:36:52+01:00</dcterms:modified>
</cp:coreProperties>
</file>

<file path=docProps/custom.xml><?xml version="1.0" encoding="utf-8"?>
<Properties xmlns="http://schemas.openxmlformats.org/officeDocument/2006/custom-properties" xmlns:vt="http://schemas.openxmlformats.org/officeDocument/2006/docPropsVTypes"/>
</file>