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K9R11/3N-230X2C3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square 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152 mm x 152 mm x 32 mm.</w:t>
      </w:r>
    </w:p>
    <w:p>
      <w:pPr>
        <w:numPr>
          <w:ilvl w:val="0"/>
          <w:numId w:val="3"/>
        </w:numPr>
      </w:pPr>
      <w:r>
        <w:rPr/>
        <w:t xml:space="preserve">Armaturhus i lackad Zamak med försänkt optik. Montageplatta i polykarbonat. Automatisk anslutning (upp till 2.5 mm²).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280 lm.</w:t>
      </w:r>
    </w:p>
    <w:p>
      <w:pPr>
        <w:numPr>
          <w:ilvl w:val="0"/>
          <w:numId w:val="3"/>
        </w:numPr>
      </w:pPr>
      <w:r>
        <w:rPr/>
        <w:t xml:space="preserve">Energiförbrukning: 4.3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Med adresserbar MSÜ3 kommunikationsmodul för övervakning via centralt batterisystem.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Pulverlackerad zamak armaturhus, RAL9006 - grå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AE257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2024-01-05T15:39:12+01:00</dcterms:created>
  <dcterms:modified xsi:type="dcterms:W3CDTF">2024-01-05T15:39:12+01:00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