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K9R14/1-230X1C3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324 mm x 26 mm x 63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Acryl-Platte.</w:t>
      </w:r>
    </w:p>
    <w:p>
      <w:pPr>
        <w:numPr>
          <w:ilvl w:val="0"/>
          <w:numId w:val="3"/>
        </w:numPr>
      </w:pPr>
      <w:r>
        <w:rPr/>
        <w:t xml:space="preserve">Leuchten-Lichtstrom im Notbetrieb: 100 lm.</w:t>
      </w:r>
    </w:p>
    <w:p>
      <w:pPr>
        <w:numPr>
          <w:ilvl w:val="0"/>
          <w:numId w:val="3"/>
        </w:numPr>
      </w:pPr>
      <w:r>
        <w:rPr/>
        <w:t xml:space="preserve">Anschlussleistung: 4.6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Inklusive adressierbarem MSÜ3-Kommunikationsmodul, geeignet für Mischbetrieb in Zentralbatteriesystem 230V AC/DC.</w:t>
      </w:r>
    </w:p>
    <w:p>
      <w:pPr>
        <w:numPr>
          <w:ilvl w:val="0"/>
          <w:numId w:val="3"/>
        </w:numPr>
      </w:pPr>
      <w:r>
        <w:rPr/>
        <w:t xml:space="preserve">Dauerschaltung.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3BB42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2024-03-12T16:35:09+01:00</dcterms:created>
  <dcterms:modified xsi:type="dcterms:W3CDTF">2024-03-12T16:35:09+01:00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