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K9R142/1X5S2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Sign plate with dot-matrix optics, acrylic (PMMA), 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Luminous flux: 50 lm, Luminous efficacy: 20 lm/W.</w:t>
      </w:r>
    </w:p>
    <w:p>
      <w:pPr>
        <w:numPr>
          <w:ilvl w:val="0"/>
          <w:numId w:val="3"/>
        </w:numPr>
      </w:pPr>
      <w:r>
        <w:rPr/>
        <w:t xml:space="preserve">Power: 2.5 W, 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0 UNLIMITED.</w:t>
      </w:r>
    </w:p>
    <w:p>
      <w:pPr>
        <w:numPr>
          <w:ilvl w:val="0"/>
          <w:numId w:val="3"/>
        </w:numPr>
      </w:pPr>
      <w:r>
        <w:rPr/>
        <w:t xml:space="preserve">Powder coated die-cast zamak housing, unpainted: rugged look.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from 5°C to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E0AE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2022-10-10T08:59:09+02:00</dcterms:created>
  <dcterms:modified xsi:type="dcterms:W3CDTF">2022-10-10T08:59:09+02:00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