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K9R15/3-230X1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pour éclairage de sécurité pour signalisation simple et double face. A encastrer dans le plafond.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152 mm x 152 mm x 32 mm.</w:t>
      </w:r>
    </w:p>
    <w:p>
      <w:pPr>
        <w:numPr>
          <w:ilvl w:val="0"/>
          <w:numId w:val="3"/>
        </w:numPr>
      </w:pPr>
      <w:r>
        <w:rPr/>
        <w:t xml:space="preserve">Caisson en zamak revêtu par poudre, ouverture sans vis, connexion électrique automatique, bornes enfichables (jusqu'à 2.5 mm²). Pictogramme sur plaque de hauteur 76 mm avec éclairage par la tranche.</w:t>
      </w:r>
    </w:p>
    <w:p>
      <w:pPr>
        <w:numPr>
          <w:ilvl w:val="0"/>
          <w:numId w:val="3"/>
        </w:numPr>
      </w:pPr>
      <w:r>
        <w:rPr/>
        <w:t xml:space="preserve">Lumen en état de secours: 50 lm.</w:t>
      </w:r>
    </w:p>
    <w:p>
      <w:pPr>
        <w:numPr>
          <w:ilvl w:val="0"/>
          <w:numId w:val="3"/>
        </w:numPr>
      </w:pPr>
      <w:r>
        <w:rPr/>
        <w:t xml:space="preserve">Consommation de courant: 1.9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15 m.</w:t>
      </w:r>
    </w:p>
    <w:p>
      <w:pPr>
        <w:numPr>
          <w:ilvl w:val="0"/>
          <w:numId w:val="3"/>
        </w:numPr>
      </w:pPr>
      <w:r>
        <w:rPr/>
        <w:t xml:space="preserve">Pour une utilisation avec des systèmes de batteries centrales sur 230 V AC / DC.</w:t>
      </w:r>
    </w:p>
    <w:p>
      <w:pPr>
        <w:numPr>
          <w:ilvl w:val="0"/>
          <w:numId w:val="3"/>
        </w:numPr>
      </w:pPr>
      <w:r>
        <w:rPr/>
        <w:t xml:space="preserve">Mode de fonctionnement permanent.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274B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2025-04-17T09:34:58+02:00</dcterms:created>
  <dcterms:modified xsi:type="dcterms:W3CDTF">2025-04-17T09:34:58+02:00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