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K9R153/3X1S11</w:t>
      </w:r>
    </w:p>
    <w:p/>
    <w:p>
      <w:pPr/>
      <w:r>
        <w:pict>
          <v:shape type="#_x0000_t75" style="width:250pt; height:191.536458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Design minimaliste luminaire pour éclairage de sécurité pour signalisation simple et double face. A encastrer dans le plafond.</w:t>
      </w:r>
    </w:p>
    <w:p>
      <w:pPr>
        <w:numPr>
          <w:ilvl w:val="0"/>
          <w:numId w:val="3"/>
        </w:numPr>
      </w:pPr>
      <w:r>
        <w:rPr/>
        <w:t xml:space="preserve">Luminaire autonome (contient batterie).</w:t>
      </w:r>
    </w:p>
    <w:p>
      <w:pPr>
        <w:numPr>
          <w:ilvl w:val="0"/>
          <w:numId w:val="3"/>
        </w:numPr>
      </w:pPr>
      <w:r>
        <w:rPr/>
        <w:t xml:space="preserve">Dimensions: 152 mm x 152 mm x 32 mm.</w:t>
      </w:r>
    </w:p>
    <w:p>
      <w:pPr>
        <w:numPr>
          <w:ilvl w:val="0"/>
          <w:numId w:val="3"/>
        </w:numPr>
      </w:pPr>
      <w:r>
        <w:rPr/>
        <w:t xml:space="preserve">Caisson en zamak revêtu par poudre, ouverture sans vis, connexion électrique automatique, bornes enfichables (jusqu'à 2.5 mm²). Pictogramme sur plaque de hauteur 76 mm avec éclairage par la tranche.</w:t>
      </w:r>
    </w:p>
    <w:p>
      <w:pPr>
        <w:numPr>
          <w:ilvl w:val="0"/>
          <w:numId w:val="3"/>
        </w:numPr>
      </w:pPr>
      <w:r>
        <w:rPr/>
        <w:t xml:space="preserve">Lumen en état de secours: 85 lm.</w:t>
      </w:r>
    </w:p>
    <w:p>
      <w:pPr>
        <w:numPr>
          <w:ilvl w:val="0"/>
          <w:numId w:val="3"/>
        </w:numPr>
      </w:pPr>
      <w:r>
        <w:rPr/>
        <w:t xml:space="preserve">Consommation de courant: 1.0 W.</w:t>
      </w:r>
    </w:p>
    <w:p>
      <w:pPr>
        <w:numPr>
          <w:ilvl w:val="0"/>
          <w:numId w:val="3"/>
        </w:numPr>
      </w:pPr>
      <w:r>
        <w:rPr/>
        <w:t xml:space="preserve">Tension: 220-230V.</w:t>
      </w:r>
    </w:p>
    <w:p>
      <w:pPr>
        <w:numPr>
          <w:ilvl w:val="0"/>
          <w:numId w:val="3"/>
        </w:numPr>
      </w:pPr>
      <w:r>
        <w:rPr/>
        <w:t xml:space="preserve"> La distance de perception du pictogramme est 15 m.</w:t>
      </w:r>
    </w:p>
    <w:p>
      <w:pPr>
        <w:numPr>
          <w:ilvl w:val="0"/>
          <w:numId w:val="3"/>
        </w:numPr>
      </w:pPr>
      <w:r>
        <w:rPr/>
        <w:t xml:space="preserve">Autonomie: 60 minutes Le luminaire contient les données de la lampe, la date et le type de la batterie, conformément à la norme EN 60598-2.22.</w:t>
      </w:r>
    </w:p>
    <w:p>
      <w:pPr>
        <w:numPr>
          <w:ilvl w:val="0"/>
          <w:numId w:val="3"/>
        </w:numPr>
      </w:pPr>
      <w:r>
        <w:rPr/>
        <w:t xml:space="preserve">Batterie: 4 x NiMh 1,2V 1,1Ah.</w:t>
      </w:r>
    </w:p>
    <w:p>
      <w:pPr>
        <w:numPr>
          <w:ilvl w:val="0"/>
          <w:numId w:val="3"/>
        </w:numPr>
      </w:pPr>
      <w:r>
        <w:rPr/>
        <w:t xml:space="preserve">Test de fonctionnement automatique toutes les semaines, test d’autonomie toutes les 13 semaines, selon EN 50172 et EN 62034. Surveillance et contrôle via le DALI pour la maintenance centralisée. Connexion via un bus de communication à deux fils.</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1 UNLIMITED.</w:t>
      </w:r>
    </w:p>
    <w:p>
      <w:pPr>
        <w:numPr>
          <w:ilvl w:val="0"/>
          <w:numId w:val="3"/>
        </w:numPr>
      </w:pPr>
      <w:r>
        <w:rPr/>
        <w:t xml:space="preserve">Zamak revêtu de poudre caisson, RAL9003 - blanc de sécurité (texturé).</w:t>
      </w:r>
    </w:p>
    <w:p>
      <w:pPr>
        <w:numPr>
          <w:ilvl w:val="0"/>
          <w:numId w:val="3"/>
        </w:numPr>
      </w:pPr>
      <w:r>
        <w:rPr/>
        <w:t xml:space="preserve">Degré de protection IP: IP42.</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FA64A98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2024-01-05T15:57:59+01:00</dcterms:created>
  <dcterms:modified xsi:type="dcterms:W3CDTF">2024-01-05T15:57:59+01:00</dcterms:modified>
</cp:coreProperties>
</file>

<file path=docProps/custom.xml><?xml version="1.0" encoding="utf-8"?>
<Properties xmlns="http://schemas.openxmlformats.org/officeDocument/2006/custom-properties" xmlns:vt="http://schemas.openxmlformats.org/officeDocument/2006/docPropsVTypes"/>
</file>