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DALI-2. A encastrer dans le plafond.</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Caisson en zamak revêtu par poudre, ouverture sans vis, connexion électrique automatique, bornes enfichables (jusqu'à 2.5 mm²). Pictogramme sur plaque de hauteur 76 mm avec éclairage par la tranche.</w:t>
      </w:r>
    </w:p>
    <w:p>
      <w:pPr>
        <w:numPr>
          <w:ilvl w:val="0"/>
          <w:numId w:val="3"/>
        </w:numPr>
      </w:pPr>
      <w:r>
        <w:rPr/>
        <w:t xml:space="preserve">Lumen en état de secours: 85 lm.</w:t>
      </w:r>
    </w:p>
    <w:p>
      <w:pPr>
        <w:numPr>
          <w:ilvl w:val="0"/>
          <w:numId w:val="3"/>
        </w:numPr>
      </w:pPr>
      <w:r>
        <w:rPr/>
        <w:t xml:space="preserve">Consommation de courant: 2.0 W.</w:t>
      </w:r>
    </w:p>
    <w:p>
      <w:pPr>
        <w:numPr>
          <w:ilvl w:val="0"/>
          <w:numId w:val="3"/>
        </w:numPr>
      </w:pPr>
      <w:r>
        <w:rPr/>
        <w:t xml:space="preserve">Tension: 220-240V.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RAL9005 - noir.</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CE72E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2025-04-17T09:35:53+02:00</dcterms:created>
  <dcterms:modified xsi:type="dcterms:W3CDTF">2025-04-17T09:35:53+02:00</dcterms:modified>
</cp:coreProperties>
</file>

<file path=docProps/custom.xml><?xml version="1.0" encoding="utf-8"?>
<Properties xmlns="http://schemas.openxmlformats.org/officeDocument/2006/custom-properties" xmlns:vt="http://schemas.openxmlformats.org/officeDocument/2006/docPropsVTypes"/>
</file>