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high light levels.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mm²).</w:t>
      </w:r>
    </w:p>
    <w:p>
      <w:pPr>
        <w:numPr>
          <w:ilvl w:val="0"/>
          <w:numId w:val="3"/>
        </w:numPr>
      </w:pPr>
      <w:r>
        <w:rPr/>
        <w:t xml:space="preserve">Concentrated light distribution, optimized for high mounting or staircase illumination.</w:t>
      </w:r>
    </w:p>
    <w:p>
      <w:pPr>
        <w:numPr>
          <w:ilvl w:val="0"/>
          <w:numId w:val="3"/>
        </w:numPr>
      </w:pPr>
      <w:r>
        <w:rPr/>
        <w:t xml:space="preserve">Lumen output in emergency mode: 280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11.3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8.0 m. At a mounting height of 2.8 m, the illumination on the floor is 1 lux with an interdistance ("b") of 9.0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&gt;1m RG1 ; &lt;1m RG2.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F130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2025-04-17T09:16:39+02:00</dcterms:created>
  <dcterms:modified xsi:type="dcterms:W3CDTF">2025-04-17T09:16:39+02:00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