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noodverlichtingsarmatuurvoor hoge lichtniveaus.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205 lm.</w:t>
      </w:r>
    </w:p>
    <w:p>
      <w:pPr>
        <w:numPr>
          <w:ilvl w:val="0"/>
          <w:numId w:val="3"/>
        </w:numPr>
      </w:pPr>
      <w:r>
        <w:rPr/>
        <w:t xml:space="preserve">Opgenomen vermogen: 2.1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10,8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8.0 m. Bij een montagehoogte van 2.8 m bedraagt de verlichtingssterkte op de vloer 1 lux bij een tussenafstand ("b") van 8.0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/ RISK GROUP 2.</w:t>
      </w:r>
    </w:p>
    <w:p>
      <w:pPr>
        <w:numPr>
          <w:ilvl w:val="0"/>
          <w:numId w:val="3"/>
        </w:numPr>
      </w:pPr>
      <w:r>
        <w:rPr/>
        <w:t xml:space="preserve">Gepoederlakt zamak gietstuk behuizing, RAL9005 - zwart.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2E36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