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K9R24/1-230X1C3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A encastrer.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324 mm x 46 mm x 60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automatique, bornes enfichables (jusqu'à 2.5 mm²). Pictogramme sur plaque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80 lm.</w:t>
      </w:r>
    </w:p>
    <w:p>
      <w:pPr>
        <w:numPr>
          <w:ilvl w:val="0"/>
          <w:numId w:val="3"/>
        </w:numPr>
      </w:pPr>
      <w:r>
        <w:rPr/>
        <w:t xml:space="preserve">Consommation de courant: 4.6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26 m.</w:t>
      </w:r>
    </w:p>
    <w:p>
      <w:pPr>
        <w:numPr>
          <w:ilvl w:val="0"/>
          <w:numId w:val="3"/>
        </w:numPr>
      </w:pPr>
      <w:r>
        <w:rPr/>
        <w:t xml:space="preserve">Contient un module de communication MSÜ3 adressable, à utiliser avec un système de batteries centrales.</w:t>
      </w:r>
    </w:p>
    <w:p>
      <w:pPr>
        <w:numPr>
          <w:ilvl w:val="0"/>
          <w:numId w:val="3"/>
        </w:numPr>
      </w:pPr>
      <w:r>
        <w:rPr/>
        <w:t xml:space="preserve">Mode de fonctionnement permanent.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5F292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2024-03-12T16:47:35+01:00</dcterms:created>
  <dcterms:modified xsi:type="dcterms:W3CDTF">2024-03-12T16:47:35+01:00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