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K9R243/1-FX1</w:t>
      </w:r>
    </w:p>
    <w:p/>
    <w:p>
      <w:pPr/>
      <w:r>
        <w:pict>
          <v:shape type="#_x0000_t75" style="width:250pt; height:409.505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324 mm x 46 mm x 60 mm.</w:t>
      </w:r>
    </w:p>
    <w:p>
      <w:pPr>
        <w:numPr>
          <w:ilvl w:val="0"/>
          <w:numId w:val="3"/>
        </w:numPr>
      </w:pPr>
      <w:r>
        <w:rPr/>
        <w:t xml:space="preserve">Caisson en zamak revêtu par poudre, ouverture sans vis, connexion électrique automatique (jusqu'à 2.5 mm²), bornes enfichables.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1.2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7C654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2024-01-05T16:07:52+01:00</dcterms:created>
  <dcterms:modified xsi:type="dcterms:W3CDTF">2024-01-05T16:07:52+01:00</dcterms:modified>
</cp:coreProperties>
</file>

<file path=docProps/custom.xml><?xml version="1.0" encoding="utf-8"?>
<Properties xmlns="http://schemas.openxmlformats.org/officeDocument/2006/custom-properties" xmlns:vt="http://schemas.openxmlformats.org/officeDocument/2006/docPropsVTypes"/>
</file>