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höga ljusnivåer.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160 mm x 160 mm x 45 mm.</w:t>
      </w:r>
    </w:p>
    <w:p>
      <w:pPr>
        <w:numPr>
          <w:ilvl w:val="0"/>
          <w:numId w:val="3"/>
        </w:numPr>
      </w:pPr>
      <w:r>
        <w:rPr/>
        <w:t xml:space="preserve">Koncentrard ljusdistribution optimerad för höga höjder eller för 5 lux i trappor.</w:t>
      </w:r>
    </w:p>
    <w:p>
      <w:pPr>
        <w:numPr>
          <w:ilvl w:val="0"/>
          <w:numId w:val="3"/>
        </w:numPr>
      </w:pPr>
      <w:r>
        <w:rPr/>
        <w:t xml:space="preserve">Lumen nödläge: 280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11.3 m.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9.0 m.  Avstånd öppna ytor: Vid en installationshöjd på 2.8 m får man 0.5 lux på golvnivån med ett c/c-avstånd (“b”) på 8.0 m.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/ RISK GROUP 2.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2D23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2025-04-17T09:13:55+02:00</dcterms:created>
  <dcterms:modified xsi:type="dcterms:W3CDTF">2025-04-17T09:13:55+02:00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