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K9R43/1-230X1C3</w:t>
      </w:r>
    </w:p>
    <w:p/>
    <w:p>
      <w:pPr/>
      <w:r>
        <w:pict>
          <v:shape type="#_x0000_t75" style="width:250pt; height:222.78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 sided signage. Parallel to wall mounting.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324 mm x 58 mm x 26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100 lm.</w:t>
      </w:r>
    </w:p>
    <w:p>
      <w:pPr>
        <w:numPr>
          <w:ilvl w:val="0"/>
          <w:numId w:val="3"/>
        </w:numPr>
      </w:pPr>
      <w:r>
        <w:rPr/>
        <w:t xml:space="preserve">Power consumption in standby: 4.6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26 m.</w:t>
      </w:r>
    </w:p>
    <w:p>
      <w:pPr>
        <w:numPr>
          <w:ilvl w:val="0"/>
          <w:numId w:val="3"/>
        </w:numPr>
      </w:pPr>
      <w:r>
        <w:rPr/>
        <w:t xml:space="preserve">Contains addressable MSÜ3 communication module, for use with a central battery system.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5D69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2025-04-17T09:26:06+02:00</dcterms:created>
  <dcterms:modified xsi:type="dcterms:W3CDTF">2025-04-17T09:26:06+02:00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