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KE212/6-ATEX1</w:t>
      </w:r>
    </w:p>
    <w:p/>
    <w:p>
      <w:pPr/>
      <w:r>
        <w:pict>
          <v:shape type="#_x0000_t75" style="width:250pt; height:206.896551724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alumbrado anti-pánico en entornos ATEX.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423 mm x 80 mm x 135 mm.</w:t>
      </w:r>
    </w:p>
    <w:p>
      <w:pPr>
        <w:numPr>
          <w:ilvl w:val="0"/>
          <w:numId w:val="3"/>
        </w:numPr>
      </w:pPr>
      <w:r>
        <w:rPr/>
        <w:t xml:space="preserve">Carcasa de aluminio, gualderas en PBT, óptica de policarbonato sellada. Montaje con dos muelles de acero inoxidable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550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11.3 m.  A una altura de montaje de 2.8 m, la iluminancia en suelo es 0.5 lux con una interdistancia (b) de 14.2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86555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2025-03-02T19:04:11+01:00</dcterms:created>
  <dcterms:modified xsi:type="dcterms:W3CDTF">2025-03-02T19:04:11+01:00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