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anti-paniekverlichting in ATEX-omgevingen.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423 mm x 80 mm x 135 mm.</w:t>
      </w:r>
    </w:p>
    <w:p>
      <w:pPr>
        <w:numPr>
          <w:ilvl w:val="0"/>
          <w:numId w:val="3"/>
        </w:numPr>
      </w:pPr>
      <w:r>
        <w:rPr/>
        <w:t xml:space="preserve">Aluminium behuizing, PBT eindkappen, verzegelde polycarbonaat optiek. Gemonteerd op twee roestvrijstalen veren.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520 lm.</w:t>
      </w:r>
    </w:p>
    <w:p>
      <w:pPr>
        <w:numPr>
          <w:ilvl w:val="0"/>
          <w:numId w:val="3"/>
        </w:numPr>
      </w:pPr>
      <w:r>
        <w:rPr/>
        <w:t xml:space="preserve">Opgenomen vermogen: 2.4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14.2 m. Bij een montagehoogte van 2.8 m bedraagt de verlichtingssterkte op de vloer 1 lux bij een tussenafstand ("b") van 11.3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 Levensduur batterij: 5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81E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2025-03-02T19:04:33+01:00</dcterms:created>
  <dcterms:modified xsi:type="dcterms:W3CDTF">2025-03-02T19:04:33+01:00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