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öppna ytor em ambientes ATEX.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423 mm x 80 mm x 135 mm.</w:t>
      </w:r>
    </w:p>
    <w:p>
      <w:pPr>
        <w:numPr>
          <w:ilvl w:val="0"/>
          <w:numId w:val="3"/>
        </w:numPr>
      </w:pPr>
      <w:r>
        <w:rPr/>
        <w:t xml:space="preserve">Armaturhus i aluminium, gavlar i PBT och kupa i polykarbonat. Monteras med fästen i rostfritt stål.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520 lm.</w:t>
      </w:r>
    </w:p>
    <w:p>
      <w:pPr>
        <w:numPr>
          <w:ilvl w:val="0"/>
          <w:numId w:val="3"/>
        </w:numPr>
      </w:pPr>
      <w:r>
        <w:rPr/>
        <w:t xml:space="preserve">Energiförbrukning: 2.4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11.3 m.  Avstånd öppna ytor: Vid en installationshöjd på 2.8 m får man 0.5 lux på golvnivån med ett c/c-avstånd (“b”) på 14.2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30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2025-03-02T19:04:37+01:00</dcterms:created>
  <dcterms:modified xsi:type="dcterms:W3CDTF">2025-03-02T19:04:37+01:00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