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Antipanik-Beleuchtung in ATEX-Umgebungen.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423 mm x 80 mm x 135 mm.</w:t>
      </w:r>
    </w:p>
    <w:p>
      <w:pPr>
        <w:numPr>
          <w:ilvl w:val="0"/>
          <w:numId w:val="3"/>
        </w:numPr>
      </w:pPr>
      <w:r>
        <w:rPr/>
        <w:t xml:space="preserve">Aluminium-Gehäuse mit PBT-Endkappen und versiegelter Polycarbonat-Optik, Anschluss-Drucksteckkontakte, Decken-Montage an zwei Edelstahl-Klammern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550 lm.</w:t>
      </w:r>
    </w:p>
    <w:p>
      <w:pPr>
        <w:numPr>
          <w:ilvl w:val="0"/>
          <w:numId w:val="3"/>
        </w:numPr>
      </w:pPr>
      <w:r>
        <w:rPr/>
        <w:t xml:space="preserve">Anschlussleistung: 2.4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11.3 m Zwischenabstand („b“) bei 2.8 m Montagehöhe für 1 lx auf Bodenniveau.  14.2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Ambient temperature: 5°C - 40°C.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FCB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2025-03-02T19:04:41+01:00</dcterms:created>
  <dcterms:modified xsi:type="dcterms:W3CDTF">2025-03-02T19:04:41+01:00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