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dans les environnements ATEX.</w:t>
      </w:r>
    </w:p>
    <w:p>
      <w:pPr>
        <w:numPr>
          <w:ilvl w:val="0"/>
          <w:numId w:val="3"/>
        </w:numPr>
      </w:pPr>
      <w:r>
        <w:rPr/>
        <w:t xml:space="preserve">Luminaire autonome (contient batterie).</w:t>
      </w:r>
    </w:p>
    <w:p>
      <w:pPr>
        <w:numPr>
          <w:ilvl w:val="0"/>
          <w:numId w:val="3"/>
        </w:numPr>
      </w:pPr>
      <w:r>
        <w:rPr/>
        <w:t xml:space="preserve">Dimensions: 423 mm x 80 mm x 135 mm.</w:t>
      </w:r>
    </w:p>
    <w:p>
      <w:pPr>
        <w:numPr>
          <w:ilvl w:val="0"/>
          <w:numId w:val="3"/>
        </w:numPr>
      </w:pPr>
      <w:r>
        <w:rPr/>
        <w:t xml:space="preserve">Caisson en aluminium, embouts en PBT, optique scellée en polycarbonate. Monté sur deux étriers en acier inoxydable.</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550 lm.</w:t>
      </w:r>
    </w:p>
    <w:p>
      <w:pPr>
        <w:numPr>
          <w:ilvl w:val="0"/>
          <w:numId w:val="3"/>
        </w:numPr>
      </w:pPr>
      <w:r>
        <w:rPr/>
        <w:t xml:space="preserve">Consommation de courant: 2.4 W.</w:t>
      </w:r>
    </w:p>
    <w:p>
      <w:pPr>
        <w:numPr>
          <w:ilvl w:val="0"/>
          <w:numId w:val="3"/>
        </w:numPr>
      </w:pPr>
      <w:r>
        <w:rPr/>
        <w:t xml:space="preserve">Interdistance chemin d’évacuation: à une hauteur de montage de 2.8 m, l'éclairage au sol est de 1 lux avec une interdistance ("b") de 12.1 m.</w:t>
      </w:r>
    </w:p>
    <w:p>
      <w:pPr>
        <w:numPr>
          <w:ilvl w:val="0"/>
          <w:numId w:val="3"/>
        </w:numPr>
      </w:pPr>
      <w:r>
        <w:rPr/>
        <w:t xml:space="preserve">Interdistance chemin anti-panique: à une hauteur de montage de 2.8 m, l'éclairage au sol est de 0.5 lux avec une interdistance ("b") de 14.2 m.  À une hauteur de montage de 2.8 m, l'éclairage au sol est de 1 lux avec une interdistance ("b") de 11.3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Aluminium laqué caisson, RAL7035 - gris clair.</w:t>
      </w:r>
    </w:p>
    <w:p>
      <w:pPr>
        <w:numPr>
          <w:ilvl w:val="0"/>
          <w:numId w:val="3"/>
        </w:numPr>
      </w:pPr>
      <w:r>
        <w:rPr/>
        <w:t xml:space="preserve">Degré de protection IP: IP66.</w:t>
      </w:r>
    </w:p>
    <w:p>
      <w:pPr>
        <w:numPr>
          <w:ilvl w:val="0"/>
          <w:numId w:val="3"/>
        </w:numPr>
      </w:pPr>
      <w:r>
        <w:rPr/>
        <w:t xml:space="preserve">Degré de protection IK: IK07.</w:t>
      </w:r>
    </w:p>
    <w:p>
      <w:pPr>
        <w:numPr>
          <w:ilvl w:val="0"/>
          <w:numId w:val="3"/>
        </w:numPr>
      </w:pPr>
      <w:r>
        <w:rPr/>
        <w:t xml:space="preserve">Classification ATEX: II 2D Ex tb IIIC T80°C Db, II 3G Ex ec IIC T4 Gc.</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ATEX,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4521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2025-03-02T19:04:42+01:00</dcterms:created>
  <dcterms:modified xsi:type="dcterms:W3CDTF">2025-03-02T19:04:42+01:00</dcterms:modified>
</cp:coreProperties>
</file>

<file path=docProps/custom.xml><?xml version="1.0" encoding="utf-8"?>
<Properties xmlns="http://schemas.openxmlformats.org/officeDocument/2006/custom-properties" xmlns:vt="http://schemas.openxmlformats.org/officeDocument/2006/docPropsVTypes"/>
</file>