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KE213/6S211-ATEX1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para iluminação de presença i ATEX-miljöer.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423 mm x 80 mm x 135 mm.</w:t>
      </w:r>
    </w:p>
    <w:p>
      <w:pPr>
        <w:numPr>
          <w:ilvl w:val="0"/>
          <w:numId w:val="3"/>
        </w:numPr>
      </w:pPr>
      <w:r>
        <w:rPr/>
        <w:t xml:space="preserve">Corpo em alumínio, tampas de extremidade em PBT, ótica de policarbonato selada. Montado em duas molas de aço inoxidável.</w:t>
      </w:r>
    </w:p>
    <w:p>
      <w:pPr>
        <w:numPr>
          <w:ilvl w:val="0"/>
          <w:numId w:val="3"/>
        </w:numPr>
      </w:pPr>
      <w:r>
        <w:rPr/>
        <w:t xml:space="preserve">Distribuição quadrada da luz, otimizada para evitar zonas escuras. 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210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9.1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8.6 m.  A uma altura de montagem de 2.8 m, a iluminação no chão é de 0.5 lux com uma interdistância ("b") de 10.8 m.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7696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2024-03-20T14:29:13+01:00</dcterms:created>
  <dcterms:modified xsi:type="dcterms:W3CDTF">2024-03-20T14:29:13+01:00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