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KL14/6-230C3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por un y ambos lados.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420 mm x 82 mm x 220 mm.</w:t>
      </w:r>
    </w:p>
    <w:p>
      <w:pPr>
        <w:numPr>
          <w:ilvl w:val="0"/>
          <w:numId w:val="3"/>
        </w:numPr>
      </w:pPr>
      <w:r>
        <w:rPr/>
        <w:t xml:space="preserve">Carcasa de policarbonato blanco, montaje en pared, techo o perdendicular a pared. Conector con terminales de cable sin tornillos (hasta 2.5mm²), permite cableado pasante.</w:t>
      </w:r>
    </w:p>
    <w:p>
      <w:pPr>
        <w:numPr>
          <w:ilvl w:val="0"/>
          <w:numId w:val="3"/>
        </w:numPr>
      </w:pPr>
      <w:r>
        <w:rPr/>
        <w:t xml:space="preserve">Consumo de energía: 8.1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40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IP54.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F7EA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2025-03-02T19:05:00+01:00</dcterms:created>
  <dcterms:modified xsi:type="dcterms:W3CDTF">2025-03-02T19:05:00+01:00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