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KL14/6-230C3</w:t>
      </w:r>
    </w:p>
    <w:p/>
    <w:p>
      <w:pPr/>
      <w:r>
        <w:pict>
          <v:shape type="#_x0000_t75" style="width:250pt; height:173.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Alumbrado de emergencia grande señalización por un y ambos lados.</w:t>
      </w:r>
    </w:p>
    <w:p>
      <w:pPr>
        <w:numPr>
          <w:ilvl w:val="0"/>
          <w:numId w:val="3"/>
        </w:numPr>
      </w:pPr>
      <w:r>
        <w:rPr/>
        <w:t xml:space="preserve">Luminaria autónoma (contiene batería).</w:t>
      </w:r>
    </w:p>
    <w:p>
      <w:pPr>
        <w:numPr>
          <w:ilvl w:val="0"/>
          <w:numId w:val="3"/>
        </w:numPr>
      </w:pPr>
      <w:r>
        <w:rPr/>
        <w:t xml:space="preserve">Dimensiones: 420 mm x 82 mm x 220 mm.</w:t>
      </w:r>
    </w:p>
    <w:p>
      <w:pPr>
        <w:numPr>
          <w:ilvl w:val="0"/>
          <w:numId w:val="3"/>
        </w:numPr>
      </w:pPr>
      <w:r>
        <w:rPr/>
        <w:t xml:space="preserve">Carcasa de policarbonato blanco, montaje en pared, techo o perdendicular a pared. Conector con terminales de cable sin tornillos (hasta 2.5mm²), permite cableado pasante.</w:t>
      </w:r>
    </w:p>
    <w:p>
      <w:pPr>
        <w:numPr>
          <w:ilvl w:val="0"/>
          <w:numId w:val="3"/>
        </w:numPr>
      </w:pPr>
      <w:r>
        <w:rPr/>
        <w:t xml:space="preserve">Lumen emergencia: 110 lm.</w:t>
      </w:r>
    </w:p>
    <w:p>
      <w:pPr>
        <w:numPr>
          <w:ilvl w:val="0"/>
          <w:numId w:val="3"/>
        </w:numPr>
      </w:pPr>
      <w:r>
        <w:rPr/>
        <w:t xml:space="preserve">Consumo de energía: 8.1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La distancia de visualización del pictograma es 40 m.</w:t>
      </w:r>
    </w:p>
    <w:p>
      <w:pPr>
        <w:numPr>
          <w:ilvl w:val="0"/>
          <w:numId w:val="3"/>
        </w:numPr>
      </w:pPr>
      <w:r>
        <w:rPr/>
        <w:t xml:space="preserve">Para uso con sistema de baterías centralizadas a 230 V AC/DC.</w:t>
      </w:r>
    </w:p>
    <w:p>
      <w:pPr>
        <w:numPr>
          <w:ilvl w:val="0"/>
          <w:numId w:val="3"/>
        </w:numPr>
      </w:pPr>
      <w:r>
        <w:rPr/>
        <w:t xml:space="preserve">Modo permanente.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Seguridad fotobiológic IEC/TR 62778: RG1.</w:t>
      </w:r>
    </w:p>
    <w:p>
      <w:pPr>
        <w:numPr>
          <w:ilvl w:val="0"/>
          <w:numId w:val="3"/>
        </w:numPr>
      </w:pPr>
      <w:r>
        <w:rPr/>
        <w:t xml:space="preserve">Policarbonato resistente a impactos carcasa, RAL9003 - blanco señales.</w:t>
      </w:r>
    </w:p>
    <w:p>
      <w:pPr>
        <w:numPr>
          <w:ilvl w:val="0"/>
          <w:numId w:val="3"/>
        </w:numPr>
      </w:pPr>
      <w:r>
        <w:rPr/>
        <w:t xml:space="preserve">Grado de protección IP: IP54.</w:t>
      </w:r>
    </w:p>
    <w:p>
      <w:pPr>
        <w:numPr>
          <w:ilvl w:val="0"/>
          <w:numId w:val="3"/>
        </w:numPr>
      </w:pPr>
      <w:r>
        <w:rPr/>
        <w:t xml:space="preserve">Grado de protección IK: IK04.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66E1F1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2024-01-17T11:25:55+01:00</dcterms:created>
  <dcterms:modified xsi:type="dcterms:W3CDTF">2024-01-17T11:25:55+01:00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